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pStyle w:val="Heading2"/>
        <w:pBdr>
          <w:bottom w:val="single" w:sz="73" w:space="0" w:color="1F407A"/>
        </w:pBdr>
        <w:shd w:val="clear" w:color="auto" w:fill="1F407A"/>
        <w:spacing w:before="0" w:after="0" w:line="374" w:lineRule="exact"/>
        <w:ind w:left="300"/>
      </w:pPr>
      <w:r>
        <w:rPr>
          <w:rFonts w:ascii="Arial" w:hAnsi="Arial" w:eastAsia="Arial" w:cs="Arial"/>
          <w:b/>
          <w:bCs/>
          <w:color w:val="FFFFFF"/>
          <w:sz w:val="32"/>
          <w:szCs w:val="32"/>
        </w:rPr>
        <w:t xml:space="preserve">REALTEST.ORG BENCHMARK SPECIFICATION V3.0</w:t>
      </w:r>
    </w:p>
    <w:p>
      <w:pPr>
        <w:pStyle w:val="Heading3"/>
        <w:spacing w:before="516" w:after="0" w:line="281" w:lineRule="exact"/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SECTION 1: EXECUTIVE SUMMARY &amp; DUAL-COLUMN LAYOUT</w:t>
      </w:r>
    </w:p>
    <w:p>
      <w:pPr>
        <w:spacing w:before="140" w:line="320" w:lineRule="exac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Online utility tools frequently advertise free document conversion on their landing pages</w:t>
      </w:r>
    </w:p>
    <w:p>
      <w:pPr>
        <w:spacing w:line="320" w:lineRule="exac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while hiding paywalls, email gates, or single-page truncation limits at the download step.</w:t>
      </w:r>
    </w:p>
    <w:p>
      <w:pPr>
        <w:spacing w:line="320" w:lineRule="exac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True DOCX conversion must preserve editable paragraphs, table cells, and multi-page text</w:t>
      </w:r>
    </w:p>
    <w:p>
      <w:pPr>
        <w:spacing w:line="320" w:lineRule="exac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without rasterizing the entire page into an uneditable static bitmap image.</w:t>
      </w:r>
    </w:p>
    <w:p>
      <w:pPr>
        <w:pStyle w:val="Heading3"/>
        <w:spacing w:before="499" w:after="0" w:line="281" w:lineRule="exact"/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SECTION 2: DETERMINISTIC FINANCIAL METRICS TABLE</w:t>
      </w:r>
    </w:p>
    <w:p>
      <w:pPr>
        <w:spacing w:before="160" w:after="0" w:line="20" w:lineRule="exact"/>
      </w:pP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560"/>
        <w:gridCol w:w="2560"/>
        <w:gridCol w:w="2560"/>
        <w:gridCol w:w="2560"/>
      </w:tblGrid>
      <w:tr>
        <w:trPr>
          <w:trHeight w:val="480" w:hRule="exact"/>
        </w:trPr>
        <w:tc>
          <w:tcPr>
            <w:tcW w:w="2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0EB"/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Quarter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0EB"/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Revenue USD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0EB"/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Accuracy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0EB"/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Audit Code</w:t>
            </w:r>
          </w:p>
        </w:tc>
      </w:tr>
      <w:tr>
        <w:trPr>
          <w:trHeight w:val="480" w:hRule="exact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Q1-2026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$128,450.00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99.42%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PASS-ALPHA</w:t>
            </w:r>
          </w:p>
        </w:tc>
      </w:tr>
      <w:tr>
        <w:trPr>
          <w:trHeight w:val="480" w:hRule="exact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Q2-2026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$256,900.50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98.85%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PASS-BETA</w:t>
            </w:r>
          </w:p>
        </w:tc>
      </w:tr>
      <w:tr>
        <w:trPr>
          <w:trHeight w:val="480" w:hRule="exact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Q3-2026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$512,750.25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99.91%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pPr>
              <w:spacing w:after="0" w:line="234" w:lineRule="exact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</w:rPr>
              <w:t xml:space="preserve">PASS-GAMMA</w:t>
            </w:r>
          </w:p>
        </w:tc>
      </w:tr>
    </w:tbl>
    <w:p>
      <w:pPr>
        <w:pStyle w:val="Heading3"/>
        <w:tabs>
          <w:tab w:val="left" w:pos="5400"/>
        </w:tabs>
        <w:spacing w:before="584" w:after="0" w:line="340" w:lineRule="exact"/>
      </w:pPr>
      <w:r>
        <w:rPr>
          <w:rFonts w:ascii="Arial" w:hAnsi="Arial" w:eastAsia="Arial" w:cs="Arial"/>
          <w:b/>
          <w:bCs/>
          <w:color w:val="000000"/>
          <w:sz w:val="22"/>
          <w:szCs w:val="22"/>
          <w:spacing w:val="-2"/>
        </w:rPr>
        <w:t xml:space="preserve">Left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2"/>
          <w:szCs w:val="22"/>
          <w:spacing w:val="-2"/>
        </w:rPr>
        <w:t xml:space="preserve">Column: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2"/>
          <w:szCs w:val="22"/>
          <w:spacing w:val="-2"/>
        </w:rPr>
        <w:t xml:space="preserve">Protocol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2"/>
          <w:szCs w:val="22"/>
          <w:spacing w:val="-2"/>
        </w:rPr>
        <w:t xml:space="preserve">Integrity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tab/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Right Column: Deliverable Verification</w:t>
      </w:r>
    </w:p>
    <w:p>
      <w:pPr>
        <w:numPr>
          <w:ilvl w:val="0"/>
          <w:numId w:val="1"/>
        </w:numPr>
        <w:tabs>
          <w:tab w:val="left" w:pos="5400"/>
        </w:tabs>
        <w:spacing w:line="351" w:lineRule="auto"/>
        <w:ind w:left="262" w:hanging="262"/>
        <w:rPr>
          <w:color w:val="000000"/>
        </w:rPr>
      </w:pP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Anonymous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browser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session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in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Profile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12.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tab/>
      </w:r>
      <w:r>
        <w:rPr>
          <w:rFonts w:ascii="Arial" w:hAnsi="Arial" w:eastAsia="Arial" w:cs="Arial"/>
          <w:color w:val="000000"/>
          <w:sz w:val="19"/>
          <w:szCs w:val="19"/>
        </w:rPr>
        <w:t xml:space="preserve">A. Inspect XML word/document.xml structure.</w:t>
      </w:r>
    </w:p>
    <w:p>
      <w:pPr>
        <w:numPr>
          <w:ilvl w:val="0"/>
          <w:numId w:val="1"/>
        </w:numPr>
        <w:tabs>
          <w:tab w:val="left" w:pos="5400"/>
        </w:tabs>
        <w:spacing w:line="351" w:lineRule="auto"/>
        <w:ind w:left="261" w:hanging="261"/>
        <w:rPr>
          <w:color w:val="000000"/>
        </w:rPr>
      </w:pP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Zero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VIP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accounts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or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sponsored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overrides.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tab/>
      </w:r>
      <w:r>
        <w:rPr>
          <w:rFonts w:ascii="Arial" w:hAnsi="Arial" w:eastAsia="Arial" w:cs="Arial"/>
          <w:color w:val="000000"/>
          <w:sz w:val="19"/>
          <w:szCs w:val="19"/>
        </w:rPr>
        <w:t xml:space="preserve">B. Verify native &lt;w:tbl&gt; table reconstruction.</w:t>
      </w:r>
    </w:p>
    <w:p>
      <w:pPr>
        <w:numPr>
          <w:ilvl w:val="0"/>
          <w:numId w:val="1"/>
        </w:numPr>
        <w:tabs>
          <w:tab w:val="left" w:pos="5400"/>
        </w:tabs>
        <w:spacing w:line="351" w:lineRule="auto"/>
        <w:ind w:left="257" w:hanging="257"/>
        <w:rPr>
          <w:color w:val="000000"/>
        </w:rPr>
        <w:sectPr>
          <w:type w:val="nextPage"/>
          <w:pgSz w:w="12240" w:h="15840"/>
          <w:pgMar w:top="260" w:right="1000" w:bottom="720" w:left="1000" w:header="0" w:footer="0" w:gutter="0"/>
        </w:sectPr>
      </w:pP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Full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3-node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screenshot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evidence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rPr>
          <w:rFonts w:ascii="Arial" w:hAnsi="Arial" w:eastAsia="Arial" w:cs="Arial"/>
          <w:color w:val="000000"/>
          <w:sz w:val="19"/>
          <w:szCs w:val="19"/>
          <w:spacing w:val="-2"/>
        </w:rPr>
        <w:t xml:space="preserve">chain.</w:t>
      </w:r>
      <w:r>
        <w:rPr>
          <w:rFonts w:ascii="Arial" w:hAnsi="Arial" w:eastAsia="Arial" w:cs="Arial"/>
          <w:color w:val="000000"/>
          <w:sz w:val="19"/>
          <w:szCs w:val="19"/>
        </w:rPr>
        <w:t xml:space="preserve"> </w:t>
      </w:r>
      <w:r>
        <w:tab/>
      </w:r>
      <w:r>
        <w:rPr>
          <w:rFonts w:ascii="Arial" w:hAnsi="Arial" w:eastAsia="Arial" w:cs="Arial"/>
          <w:color w:val="000000"/>
          <w:sz w:val="19"/>
          <w:szCs w:val="19"/>
        </w:rPr>
        <w:t xml:space="preserve">C. Confirm zero watermark injection.</w:t>
      </w:r>
    </w:p>
    <w:p>
      <w:pPr>
        <w:pStyle w:val="Heading3"/>
        <w:pBdr>
          <w:bottom w:val="single" w:sz="47" w:space="0" w:color="1F407A"/>
        </w:pBdr>
        <w:shd w:val="clear" w:color="auto" w:fill="1F407A"/>
        <w:spacing w:before="0" w:after="0" w:line="328" w:lineRule="exact"/>
        <w:ind w:left="300"/>
      </w:pPr>
      <w:r>
        <w:rPr>
          <w:rFonts w:ascii="Arial" w:hAnsi="Arial" w:eastAsia="Arial" w:cs="Arial"/>
          <w:b/>
          <w:bCs/>
          <w:color w:val="FFFFFF"/>
          <w:sz w:val="28"/>
          <w:szCs w:val="28"/>
        </w:rPr>
        <w:t xml:space="preserve">SECTION 3: PAGE 2 CONTINUATION &amp; RETENTION AUDIT</w:t>
      </w:r>
    </w:p>
    <w:p>
      <w:pPr>
        <w:spacing w:before="541" w:line="246" w:lineRule="exact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Page two verifies that free tiers do not silently truncate multi-page documents after page one.</w:t>
      </w:r>
    </w:p>
    <w:p>
      <w:pPr>
        <w:spacing w:before="159" w:line="246" w:lineRule="exact"/>
        <w:ind w:right="-10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Every token on this second page must appear as selectable text inside the exported DOCX file.</w:t>
      </w:r>
    </w:p>
    <w:p>
      <w:pPr>
        <w:spacing w:before="447" w:line="257" w:lineRule="exact"/>
      </w:pPr>
      <w:r>
        <w:rPr>
          <w:rFonts w:ascii="Arial" w:hAnsi="Arial" w:eastAsia="Arial" w:cs="Arial"/>
          <w:b/>
          <w:bCs/>
          <w:color w:val="000000"/>
          <w:sz w:val="22"/>
          <w:szCs w:val="22"/>
          <w:spacing w:val="2"/>
        </w:rPr>
        <w:t xml:space="preserve">End-to-End Verification Token: REALTEST-PAGE2-VERIFIED-2026</w:t>
      </w:r>
    </w:p>
    <w:sectPr>
      <w:pgSz w:w="12240" w:h="15840"/>
      <w:pgMar w:top="378" w:right="1000" w:bottom="720" w:left="100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eastAsia="Arial" w:cs="Arial" w:hint="default"/>
        <w:sz w:val="19"/>
        <w:szCs w:val="19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eastAsia="Arial" w:cs="Arial" w:hint="default"/>
        <w:sz w:val="19"/>
        <w:szCs w:val="19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eastAsia="Arial" w:cs="Arial" w:hint="default"/>
        <w:sz w:val="19"/>
        <w:szCs w:val="19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eastAsia="Arial" w:cs="Arial" w:hint="default"/>
        <w:sz w:val="19"/>
        <w:szCs w:val="19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eastAsia="Arial" w:cs="Arial" w:hint="default"/>
        <w:sz w:val="19"/>
        <w:szCs w:val="19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eastAsia="Arial" w:cs="Arial" w:hint="default"/>
        <w:sz w:val="19"/>
        <w:szCs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eastAsia="Arial" w:cs="Arial" w:hint="default"/>
        <w:sz w:val="19"/>
        <w:szCs w:val="19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eastAsia="Arial" w:cs="Arial" w:hint="default"/>
        <w:sz w:val="19"/>
        <w:szCs w:val="19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eastAsia="Arial" w:cs="Arial" w:hint="default"/>
        <w:sz w:val="19"/>
        <w:szCs w:val="1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